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3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《劳动合同的解除》教案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val="en-US" w:eastAsia="zh-CN"/>
        </w:rPr>
        <w:t>法律制度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》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、授课内容：劳动合同的解除</w:t>
      </w:r>
      <w:bookmarkStart w:id="0" w:name="_GoBack"/>
      <w:bookmarkEnd w:id="0"/>
    </w:p>
    <w:p>
      <w:pPr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ind w:left="15" w:hanging="15" w:hangingChars="5"/>
        <w:jc w:val="left"/>
        <w:rPr>
          <w:rFonts w:ascii="宋体" w:cs="宋体"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学习劳动合同解除的概念、条件、法律后果。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：劳动合同解除的条件。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劳动合同解除的法律后果。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ind w:firstLine="620" w:firstLineChars="20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学习劳动合同解除的相关知识之后，能解决生活中遇到的实际问题。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三、学情分析</w:t>
      </w: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  <w:t>本节是本章的难点所在，因为涉及的理论知识较多，学生不仅要掌握相关的理论，</w:t>
      </w:r>
      <w:r>
        <w:rPr>
          <w:rFonts w:hint="eastAsia" w:ascii="宋体" w:cs="宋体"/>
          <w:bCs/>
          <w:iCs/>
          <w:color w:val="333333"/>
          <w:spacing w:val="15"/>
          <w:sz w:val="28"/>
          <w:szCs w:val="28"/>
          <w:lang w:eastAsia="zh-CN"/>
        </w:rPr>
        <w:t>还</w:t>
      </w:r>
      <w:r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  <w:t>要运用理论解决实践问题，对教师、学生都有极高要求。</w:t>
      </w: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选学生代表讲解练习。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学生分析、讲解解题思路。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学生分享解题思路，有助于老师根据情况了解学生对该知识点的掌握情况。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、教师列举生活案例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介绍即将学习的内容。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、分析案例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、用生活案例的形式带人今天要学习的知识，让学生清楚学习本章节的重要性与意义，激发学习兴趣，更好地完成教学任务。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讲授本课知识点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举例子说明。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学习基础的知识。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形成扎实的基本知识结构，为分析问题、解决问题做铺垫。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2、图表分析。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2、解读图表。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2、用图表的形式进行比较，更清楚明确学好本节课的意义。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lang w:eastAsia="zh-CN"/>
              </w:rPr>
              <w:t>组织学生开展法律论辩。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240" w:hanging="240" w:hanging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widowControl/>
              <w:ind w:left="240" w:hanging="240" w:hanging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1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①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小组讨论案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例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2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②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选择支持的观点。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3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③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论述支持的观点。</w:t>
            </w:r>
          </w:p>
          <w:p>
            <w:pPr>
              <w:widowControl/>
              <w:ind w:left="240" w:hanging="240" w:hangingChars="1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</w:rPr>
              <w:t>辩论的形式剖析案例，不仅提高学生的参与度，在不同思考维度、不同的理论支持会激发出更多的火花，从而带动课堂的的气氛，有利于下一步教学计划的进行。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lang w:eastAsia="zh-CN"/>
              </w:rPr>
              <w:t>热点分析。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5、听取分析。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5、与热点问题结合，更好梳理本章难点。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组织（指导）学生以小组形式，完成思维导图。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完成思维导图。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6、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eastAsia="zh-CN"/>
              </w:rPr>
              <w:t>思维导图</w:t>
            </w:r>
            <w:r>
              <w:rPr>
                <w:rFonts w:hint="eastAsia"/>
                <w:sz w:val="24"/>
              </w:rPr>
              <w:t>的形式对今天学习的重、难点进行总结归纳，化繁为简，让学生一目了然，容易记忆。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在课前加大了例题的练习，在理论、案例教学的基础上加入了案例辩论的环节，多种教学手段的结合，带出了生动、学习气氛浓厚的课堂，最后的</w:t>
      </w:r>
      <w:r>
        <w:rPr>
          <w:rFonts w:hint="eastAsia"/>
          <w:sz w:val="28"/>
          <w:szCs w:val="28"/>
          <w:lang w:eastAsia="zh-CN"/>
        </w:rPr>
        <w:t>思维导</w:t>
      </w:r>
      <w:r>
        <w:rPr>
          <w:rFonts w:hint="eastAsia"/>
          <w:sz w:val="28"/>
          <w:szCs w:val="28"/>
        </w:rPr>
        <w:t>图能更好地帮助学生整理知识点，达到了较好的教学效果。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09A"/>
    <w:multiLevelType w:val="multilevel"/>
    <w:tmpl w:val="0091609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300BC2B"/>
    <w:multiLevelType w:val="singleLevel"/>
    <w:tmpl w:val="2300BC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6B1CAF"/>
    <w:multiLevelType w:val="singleLevel"/>
    <w:tmpl w:val="556B1CA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4EE289F"/>
    <w:multiLevelType w:val="multilevel"/>
    <w:tmpl w:val="74EE289F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71"/>
    <w:rsid w:val="000A1BC0"/>
    <w:rsid w:val="00173E47"/>
    <w:rsid w:val="00186412"/>
    <w:rsid w:val="001869F2"/>
    <w:rsid w:val="001B187E"/>
    <w:rsid w:val="00226FC8"/>
    <w:rsid w:val="00265E33"/>
    <w:rsid w:val="002853FF"/>
    <w:rsid w:val="00322F9E"/>
    <w:rsid w:val="003427BA"/>
    <w:rsid w:val="00363D54"/>
    <w:rsid w:val="003A2B48"/>
    <w:rsid w:val="003A42D6"/>
    <w:rsid w:val="003B6292"/>
    <w:rsid w:val="003C25FD"/>
    <w:rsid w:val="003F6B81"/>
    <w:rsid w:val="004515C7"/>
    <w:rsid w:val="00507DC2"/>
    <w:rsid w:val="00514EDF"/>
    <w:rsid w:val="00543E71"/>
    <w:rsid w:val="005E05E9"/>
    <w:rsid w:val="005E7483"/>
    <w:rsid w:val="0067423C"/>
    <w:rsid w:val="00676A2C"/>
    <w:rsid w:val="00726FF7"/>
    <w:rsid w:val="00731484"/>
    <w:rsid w:val="00774A49"/>
    <w:rsid w:val="00784895"/>
    <w:rsid w:val="00793C5C"/>
    <w:rsid w:val="007A0622"/>
    <w:rsid w:val="007C28EF"/>
    <w:rsid w:val="007E4BD8"/>
    <w:rsid w:val="0083237F"/>
    <w:rsid w:val="008360FC"/>
    <w:rsid w:val="00875325"/>
    <w:rsid w:val="008C2EAC"/>
    <w:rsid w:val="008C3F32"/>
    <w:rsid w:val="008E1924"/>
    <w:rsid w:val="008F1ED2"/>
    <w:rsid w:val="00934DBB"/>
    <w:rsid w:val="00944313"/>
    <w:rsid w:val="00950AB1"/>
    <w:rsid w:val="00994360"/>
    <w:rsid w:val="00A05F6C"/>
    <w:rsid w:val="00A070F5"/>
    <w:rsid w:val="00A404AB"/>
    <w:rsid w:val="00A90348"/>
    <w:rsid w:val="00A9588E"/>
    <w:rsid w:val="00AD1053"/>
    <w:rsid w:val="00B01E7F"/>
    <w:rsid w:val="00B109F9"/>
    <w:rsid w:val="00B60291"/>
    <w:rsid w:val="00B72FD4"/>
    <w:rsid w:val="00BC3782"/>
    <w:rsid w:val="00BC4DDC"/>
    <w:rsid w:val="00C128D0"/>
    <w:rsid w:val="00C2412B"/>
    <w:rsid w:val="00C308A0"/>
    <w:rsid w:val="00C866D6"/>
    <w:rsid w:val="00CB2DCF"/>
    <w:rsid w:val="00D1402E"/>
    <w:rsid w:val="00DB7CC0"/>
    <w:rsid w:val="00E33774"/>
    <w:rsid w:val="00E42D36"/>
    <w:rsid w:val="00E57BF5"/>
    <w:rsid w:val="00EB1D55"/>
    <w:rsid w:val="00EB3043"/>
    <w:rsid w:val="00ED6867"/>
    <w:rsid w:val="00F02A10"/>
    <w:rsid w:val="00FB35E5"/>
    <w:rsid w:val="0189550D"/>
    <w:rsid w:val="01D65C1F"/>
    <w:rsid w:val="028C3D68"/>
    <w:rsid w:val="0E2511F5"/>
    <w:rsid w:val="0EC83967"/>
    <w:rsid w:val="0FDC21EB"/>
    <w:rsid w:val="12AA39F3"/>
    <w:rsid w:val="132E0804"/>
    <w:rsid w:val="157955E1"/>
    <w:rsid w:val="1B051882"/>
    <w:rsid w:val="1BF11FB6"/>
    <w:rsid w:val="1C655662"/>
    <w:rsid w:val="1C6F372C"/>
    <w:rsid w:val="1D874DED"/>
    <w:rsid w:val="2746541D"/>
    <w:rsid w:val="29702391"/>
    <w:rsid w:val="2A145E29"/>
    <w:rsid w:val="2B0C090D"/>
    <w:rsid w:val="2D522956"/>
    <w:rsid w:val="2DD8608D"/>
    <w:rsid w:val="2F184F44"/>
    <w:rsid w:val="342975A7"/>
    <w:rsid w:val="385971C3"/>
    <w:rsid w:val="395155BA"/>
    <w:rsid w:val="42943646"/>
    <w:rsid w:val="43FA5B89"/>
    <w:rsid w:val="471C7716"/>
    <w:rsid w:val="472849CF"/>
    <w:rsid w:val="4A051187"/>
    <w:rsid w:val="4BB37C76"/>
    <w:rsid w:val="510822E4"/>
    <w:rsid w:val="59B34EC1"/>
    <w:rsid w:val="5C214337"/>
    <w:rsid w:val="5C482575"/>
    <w:rsid w:val="5D794321"/>
    <w:rsid w:val="5DE137CD"/>
    <w:rsid w:val="61A456DE"/>
    <w:rsid w:val="633C08F9"/>
    <w:rsid w:val="668F0A8B"/>
    <w:rsid w:val="6B4334A7"/>
    <w:rsid w:val="72AF5DD6"/>
    <w:rsid w:val="730907F6"/>
    <w:rsid w:val="74111F21"/>
    <w:rsid w:val="75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237</Words>
  <Characters>1357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FUDAO</cp:lastModifiedBy>
  <dcterms:modified xsi:type="dcterms:W3CDTF">2021-01-02T04:30:43Z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